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Times New Roman" w:hAnsi="Times New Roman" w:eastAsia="方正小标宋简体" w:cs="Times New Roman"/>
          <w:color w:val="548DD4"/>
          <w:spacing w:val="40"/>
          <w:sz w:val="80"/>
          <w:szCs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1</w:t>
      </w:r>
      <w:r>
        <w:rPr>
          <w:rFonts w:hint="eastAsia" w:ascii="Times New Roman" w:hAnsi="Times New Roman" w:eastAsia="方正小标宋简体" w:cs="Times New Roman"/>
          <w:b w:val="0"/>
          <w:bCs w:val="0"/>
          <w:sz w:val="44"/>
          <w:szCs w:val="44"/>
          <w:lang w:val="en-US" w:eastAsia="zh-CN"/>
        </w:rPr>
        <w:t>年中央财政专项扶贫资金</w:t>
      </w:r>
      <w:r>
        <w:rPr>
          <w:rFonts w:hint="eastAsia" w:ascii="方正小标宋简体" w:hAnsi="方正小标宋简体" w:eastAsia="方正小标宋简体" w:cs="方正小标宋简体"/>
          <w:b w:val="0"/>
          <w:bCs w:val="0"/>
          <w:sz w:val="44"/>
          <w:szCs w:val="44"/>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eastAsia" w:ascii="方正小标宋简体" w:hAnsi="方正小标宋简体" w:eastAsia="方正小标宋简体" w:cs="方正小标宋简体"/>
          <w:b w:val="0"/>
          <w:bCs w:val="0"/>
          <w:sz w:val="44"/>
          <w:szCs w:val="44"/>
        </w:rPr>
        <w:t>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四川省林业和草原局 四川省残疾人联合会关于提前下达2021年中央财政专项扶贫资金的通知》（川财农〔2020〕164号），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2021年中央财政专项扶贫资金预算2202万元。</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1</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请你单位</w:t>
      </w:r>
      <w:r>
        <w:rPr>
          <w:rFonts w:hint="eastAsia" w:ascii="Times New Roman" w:hAnsi="Times New Roman" w:eastAsia="仿宋_GB2312" w:cs="Times New Roman"/>
          <w:snapToGrid w:val="0"/>
          <w:spacing w:val="6"/>
          <w:kern w:val="2"/>
          <w:sz w:val="32"/>
          <w:szCs w:val="32"/>
          <w:lang w:val="en-US" w:eastAsia="zh-CN" w:bidi="ar-SA"/>
        </w:rPr>
        <w:t>认真贯彻落实党中央、国务院、省委、省政府、市委、市政府和县委、县政府关于巩固拓展脱贫攻坚成果同乡村振兴有效衔接的决策部署，切实管好用好资金，充分发挥资金使用效益。</w:t>
      </w:r>
      <w:r>
        <w:rPr>
          <w:rFonts w:hint="eastAsia" w:eastAsia="仿宋_GB2312" w:cs="Times New Roman"/>
          <w:snapToGrid w:val="0"/>
          <w:spacing w:val="6"/>
          <w:kern w:val="2"/>
          <w:sz w:val="32"/>
          <w:szCs w:val="32"/>
          <w:lang w:val="en-US" w:eastAsia="zh-CN" w:bidi="ar-SA"/>
        </w:rPr>
        <w:t>及时将资金落实到具体项目，切实加快项目建设和资金支付进度。</w:t>
      </w:r>
      <w:r>
        <w:rPr>
          <w:rFonts w:hint="eastAsia" w:ascii="Times New Roman" w:hAnsi="Times New Roman" w:eastAsia="仿宋_GB2312" w:cs="Times New Roman"/>
          <w:snapToGrid w:val="0"/>
          <w:spacing w:val="6"/>
          <w:kern w:val="2"/>
          <w:sz w:val="32"/>
          <w:szCs w:val="32"/>
          <w:lang w:val="en-US" w:eastAsia="zh-CN" w:bidi="ar-SA"/>
        </w:rPr>
        <w:t>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52A11EE"/>
    <w:rsid w:val="265A72ED"/>
    <w:rsid w:val="26703219"/>
    <w:rsid w:val="2801755A"/>
    <w:rsid w:val="29FF429C"/>
    <w:rsid w:val="2A0A1A8C"/>
    <w:rsid w:val="2A205736"/>
    <w:rsid w:val="2AF00025"/>
    <w:rsid w:val="2BCB62F7"/>
    <w:rsid w:val="2CA74E97"/>
    <w:rsid w:val="2CCA1B64"/>
    <w:rsid w:val="2D181CBF"/>
    <w:rsid w:val="2F925C86"/>
    <w:rsid w:val="3010626B"/>
    <w:rsid w:val="30933CAE"/>
    <w:rsid w:val="3170536E"/>
    <w:rsid w:val="33FB3042"/>
    <w:rsid w:val="34FD3AB5"/>
    <w:rsid w:val="37FE5E92"/>
    <w:rsid w:val="391628E0"/>
    <w:rsid w:val="39B95792"/>
    <w:rsid w:val="3AA32F41"/>
    <w:rsid w:val="3EEC7240"/>
    <w:rsid w:val="3F8B79B2"/>
    <w:rsid w:val="40F50C94"/>
    <w:rsid w:val="44C86A3A"/>
    <w:rsid w:val="4B6E792B"/>
    <w:rsid w:val="4C4B1BB0"/>
    <w:rsid w:val="501268CA"/>
    <w:rsid w:val="51C05ACA"/>
    <w:rsid w:val="51D47871"/>
    <w:rsid w:val="526145A7"/>
    <w:rsid w:val="55C33758"/>
    <w:rsid w:val="56747B17"/>
    <w:rsid w:val="58061A24"/>
    <w:rsid w:val="594D67BD"/>
    <w:rsid w:val="5B120E79"/>
    <w:rsid w:val="5D971E61"/>
    <w:rsid w:val="64DC6BF4"/>
    <w:rsid w:val="69223287"/>
    <w:rsid w:val="69D669A8"/>
    <w:rsid w:val="6A0743F8"/>
    <w:rsid w:val="6A1D6ACD"/>
    <w:rsid w:val="6DED179D"/>
    <w:rsid w:val="6F055199"/>
    <w:rsid w:val="6F3E7576"/>
    <w:rsid w:val="750B4C31"/>
    <w:rsid w:val="7A5029FE"/>
    <w:rsid w:val="7AA1500F"/>
    <w:rsid w:val="7C3F0BC8"/>
    <w:rsid w:val="7E764805"/>
    <w:rsid w:val="7F13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124</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2024-05-22T03:26:05Z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